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0DB" w:rsidRPr="00F07F22" w:rsidRDefault="001B10DB">
      <w:pPr>
        <w:spacing w:before="9"/>
        <w:rPr>
          <w:rFonts w:ascii="Times New Roman" w:eastAsia="Times New Roman" w:hAnsi="Times New Roman" w:cs="Times New Roman"/>
          <w:sz w:val="7"/>
          <w:szCs w:val="7"/>
          <w:lang w:val="cs-CZ"/>
        </w:rPr>
      </w:pPr>
    </w:p>
    <w:p w:rsidR="001B10DB" w:rsidRPr="00F07F22" w:rsidRDefault="009D4F5D">
      <w:pPr>
        <w:spacing w:line="696" w:lineRule="exact"/>
        <w:ind w:left="114"/>
        <w:rPr>
          <w:rFonts w:ascii="Times New Roman" w:eastAsia="Times New Roman" w:hAnsi="Times New Roman" w:cs="Times New Roman"/>
          <w:sz w:val="20"/>
          <w:szCs w:val="20"/>
          <w:lang w:val="cs-CZ"/>
        </w:rPr>
      </w:pPr>
      <w:r>
        <w:rPr>
          <w:rFonts w:ascii="Times New Roman" w:eastAsia="Times New Roman" w:hAnsi="Times New Roman" w:cs="Times New Roman"/>
          <w:noProof/>
          <w:position w:val="-13"/>
          <w:sz w:val="20"/>
          <w:szCs w:val="20"/>
          <w:lang w:val="cs-CZ" w:eastAsia="de-DE" w:bidi="he-IL"/>
        </w:rPr>
      </w:r>
      <w:r>
        <w:rPr>
          <w:rFonts w:ascii="Times New Roman" w:eastAsia="Times New Roman" w:hAnsi="Times New Roman" w:cs="Times New Roman"/>
          <w:noProof/>
          <w:position w:val="-13"/>
          <w:sz w:val="20"/>
          <w:szCs w:val="20"/>
          <w:lang w:val="cs-CZ" w:eastAsia="de-DE" w:bidi="he-IL"/>
        </w:rPr>
        <w:pict>
          <v:group id="Group 2" o:spid="_x0000_s1026" style="width:537.35pt;height:34.85pt;mso-position-horizontal-relative:char;mso-position-vertical-relative:line" coordsize="10747,6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15;top:108;width:488;height:51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vOVvEAAAA2gAAAA8AAABkcnMvZG93bnJldi54bWxEj0FrwkAUhO+C/2F5Qi+iGxVqSV2lLS0U&#10;b6YWPb5mn0kw+zbubmP013cLgsdhZr5hFqvO1KIl5yvLCibjBARxbnXFhYLt18foCYQPyBpry6Tg&#10;Qh5Wy35vgam2Z95Qm4VCRAj7FBWUITSplD4vyaAf24Y4egfrDIYoXSG1w3OEm1pOk+RRGqw4LpTY&#10;0FtJ+TH7NQp27zM7d86c9tn6p90X36/1dbhR6mHQvTyDCNSFe/jW/tQKpvB/Jd4Aufw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TvOVvEAAAA2gAAAA8AAAAAAAAAAAAAAAAA&#10;nwIAAGRycy9kb3ducmV2LnhtbFBLBQYAAAAABAAEAPcAAACQAwAAAAA=&#10;">
              <v:imagedata r:id="rId7" o:title=""/>
            </v:shape>
            <v:shapetype id="_x0000_t202" coordsize="21600,21600" o:spt="202" path="m,l,21600r21600,l21600,xe">
              <v:stroke joinstyle="miter"/>
              <v:path gradientshapeok="t" o:connecttype="rect"/>
            </v:shapetype>
            <v:shape id="Text Box 3" o:spid="_x0000_s1028" type="#_x0000_t202" style="position:absolute;width:10747;height:6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y8EA&#10;AADaAAAADwAAAGRycy9kb3ducmV2LnhtbESP3YrCMBSE7xd8h3AE79bUXRCpxiKCbEHEn673h+bY&#10;FpuTbhO1+vRGEPZymJlvmFnSmVpcqXWVZQWjYQSCOLe64kLBb7b6nIBwHlljbZkU3MlBMu99zDDW&#10;9sZ7uh58IQKEXYwKSu+bWEqXl2TQDW1DHLyTbQ36INtC6hZvAW5q+RVFY2mw4rBQYkPLkvLz4WIU&#10;/NScGvmH6/XjUtncH7PdZpspNeh3iykIT53/D7/bqVbwDa8r4Qb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7ksvBAAAA2gAAAA8AAAAAAAAAAAAAAAAAmAIAAGRycy9kb3du&#10;cmV2LnhtbFBLBQYAAAAABAAEAPUAAACGAwAAAAA=&#10;" filled="f" strokecolor="#006ab2" strokeweight=".8pt">
              <v:textbox style="mso-next-textbox:#Text Box 3" inset="0,0,0,0">
                <w:txbxContent>
                  <w:p w:rsidR="001B10DB" w:rsidRPr="009B245D" w:rsidRDefault="006A23B7" w:rsidP="006A23B7">
                    <w:pPr>
                      <w:spacing w:before="240"/>
                      <w:rPr>
                        <w:szCs w:val="24"/>
                        <w:lang w:val="cs-CZ"/>
                      </w:rPr>
                    </w:pPr>
                    <w:r>
                      <w:rPr>
                        <w:rFonts w:ascii="Verdana" w:hAnsi="Verdana"/>
                        <w:b/>
                        <w:bCs/>
                        <w:color w:val="0070C0"/>
                        <w:sz w:val="24"/>
                        <w:szCs w:val="24"/>
                        <w:lang w:val="cs-CZ"/>
                      </w:rPr>
                      <w:tab/>
                      <w:t xml:space="preserve">   </w:t>
                    </w:r>
                    <w:r w:rsidR="009B245D">
                      <w:rPr>
                        <w:rFonts w:ascii="Verdana" w:hAnsi="Verdana"/>
                        <w:b/>
                        <w:bCs/>
                        <w:color w:val="0070C0"/>
                        <w:sz w:val="24"/>
                        <w:szCs w:val="24"/>
                        <w:lang w:val="cs-CZ"/>
                      </w:rPr>
                      <w:t xml:space="preserve">Terapeutická lekce </w:t>
                    </w:r>
                    <w:r w:rsidRPr="006A23B7">
                      <w:rPr>
                        <w:rFonts w:ascii="Verdana" w:hAnsi="Verdana"/>
                        <w:b/>
                        <w:bCs/>
                        <w:color w:val="0070C0"/>
                        <w:sz w:val="24"/>
                        <w:szCs w:val="24"/>
                        <w:lang w:val="cs-CZ"/>
                      </w:rPr>
                      <w:t xml:space="preserve">11: Život s psychózou a </w:t>
                    </w:r>
                    <w:r w:rsidR="00797329">
                      <w:rPr>
                        <w:rFonts w:ascii="Verdana" w:hAnsi="Verdana"/>
                        <w:b/>
                        <w:bCs/>
                        <w:color w:val="0070C0"/>
                        <w:sz w:val="24"/>
                        <w:szCs w:val="24"/>
                        <w:lang w:val="cs-CZ"/>
                      </w:rPr>
                      <w:t xml:space="preserve">jak předejít </w:t>
                    </w:r>
                    <w:r w:rsidRPr="006A23B7">
                      <w:rPr>
                        <w:rFonts w:ascii="Verdana" w:hAnsi="Verdana"/>
                        <w:b/>
                        <w:bCs/>
                        <w:color w:val="0070C0"/>
                        <w:sz w:val="24"/>
                        <w:szCs w:val="24"/>
                        <w:lang w:val="cs-CZ"/>
                      </w:rPr>
                      <w:t>relapsu</w:t>
                    </w:r>
                  </w:p>
                </w:txbxContent>
              </v:textbox>
            </v:shape>
            <w10:wrap type="none"/>
            <w10:anchorlock/>
          </v:group>
        </w:pict>
      </w:r>
    </w:p>
    <w:p w:rsidR="001B10DB" w:rsidRPr="00F07F22" w:rsidRDefault="001B10DB">
      <w:pPr>
        <w:spacing w:before="2"/>
        <w:rPr>
          <w:rFonts w:ascii="Times New Roman" w:eastAsia="Times New Roman" w:hAnsi="Times New Roman" w:cs="Times New Roman"/>
          <w:sz w:val="18"/>
          <w:szCs w:val="18"/>
          <w:lang w:val="cs-CZ"/>
        </w:rPr>
      </w:pPr>
    </w:p>
    <w:p w:rsidR="001B10DB" w:rsidRPr="00F07F22" w:rsidRDefault="00F07F22">
      <w:pPr>
        <w:spacing w:before="57"/>
        <w:ind w:left="106" w:right="195"/>
        <w:rPr>
          <w:rFonts w:ascii="Verdana" w:eastAsia="Verdana" w:hAnsi="Verdana" w:cs="Verdana"/>
          <w:sz w:val="24"/>
          <w:szCs w:val="24"/>
          <w:lang w:val="cs-CZ"/>
        </w:rPr>
      </w:pPr>
      <w:r w:rsidRPr="00F07F22">
        <w:rPr>
          <w:rFonts w:ascii="Verdana" w:hAnsi="Verdana"/>
          <w:b/>
          <w:color w:val="006AB2"/>
          <w:sz w:val="24"/>
          <w:lang w:val="cs-CZ"/>
        </w:rPr>
        <w:t xml:space="preserve">Pracovní list </w:t>
      </w:r>
      <w:r w:rsidR="00C31CAD" w:rsidRPr="00F07F22">
        <w:rPr>
          <w:rFonts w:ascii="Verdana" w:hAnsi="Verdana"/>
          <w:b/>
          <w:color w:val="006AB2"/>
          <w:sz w:val="24"/>
          <w:lang w:val="cs-CZ"/>
        </w:rPr>
        <w:t>11.3</w:t>
      </w:r>
      <w:r w:rsidR="00AB529E" w:rsidRPr="00F07F22">
        <w:rPr>
          <w:rFonts w:ascii="Verdana" w:hAnsi="Verdana"/>
          <w:b/>
          <w:color w:val="006AB2"/>
          <w:sz w:val="24"/>
          <w:lang w:val="cs-CZ"/>
        </w:rPr>
        <w:t>b</w:t>
      </w:r>
      <w:r w:rsidR="00FF2710" w:rsidRPr="00F07F22">
        <w:rPr>
          <w:rFonts w:ascii="Verdana" w:hAnsi="Verdana"/>
          <w:b/>
          <w:color w:val="006AB2"/>
          <w:sz w:val="24"/>
          <w:lang w:val="cs-CZ"/>
        </w:rPr>
        <w:t>.</w:t>
      </w:r>
      <w:r>
        <w:rPr>
          <w:rFonts w:ascii="Verdana" w:hAnsi="Verdana"/>
          <w:b/>
          <w:color w:val="006AB2"/>
          <w:sz w:val="24"/>
          <w:lang w:val="cs-CZ"/>
        </w:rPr>
        <w:t xml:space="preserve"> Časné varovné příznaky</w:t>
      </w:r>
    </w:p>
    <w:p w:rsidR="001B10DB" w:rsidRPr="00F07F22" w:rsidRDefault="001B10DB">
      <w:pPr>
        <w:spacing w:before="1"/>
        <w:rPr>
          <w:rFonts w:ascii="Verdana" w:eastAsia="Verdana" w:hAnsi="Verdana" w:cs="Verdana"/>
          <w:b/>
          <w:bCs/>
          <w:lang w:val="cs-CZ"/>
        </w:rPr>
      </w:pPr>
      <w:bookmarkStart w:id="0" w:name="_GoBack"/>
      <w:bookmarkEnd w:id="0"/>
    </w:p>
    <w:p w:rsidR="00F07F22" w:rsidRPr="007F6C9A" w:rsidRDefault="00F07F22" w:rsidP="00F07F22">
      <w:pPr>
        <w:spacing w:line="276" w:lineRule="auto"/>
        <w:rPr>
          <w:rStyle w:val="StylVerdana10b"/>
        </w:rPr>
      </w:pPr>
      <w:r>
        <w:rPr>
          <w:rStyle w:val="StylVerdana10b"/>
        </w:rPr>
        <w:t xml:space="preserve">Akutní psychóza jen málokdy přichází jako blesk z čistého nebe </w:t>
      </w:r>
      <w:r w:rsidRPr="007F6C9A">
        <w:rPr>
          <w:rStyle w:val="StylVerdana10b"/>
        </w:rPr>
        <w:t xml:space="preserve">– </w:t>
      </w:r>
      <w:r>
        <w:rPr>
          <w:rStyle w:val="StylVerdana10b"/>
        </w:rPr>
        <w:t>obvykle se projevuje postupně</w:t>
      </w:r>
      <w:r w:rsidRPr="007F6C9A">
        <w:rPr>
          <w:rStyle w:val="StylVerdana10b"/>
        </w:rPr>
        <w:t xml:space="preserve">. </w:t>
      </w:r>
      <w:r>
        <w:rPr>
          <w:rStyle w:val="StylVerdana10b"/>
        </w:rPr>
        <w:t xml:space="preserve">Prosím vyberte ze seznamu časných varovných příznaků ty, které jste sami zažili, a roztřiďte je do tabulky podle jejich časové následnosti. To by vám mělo pomoci všimnout si včas hrozícího rozvoje další epizody psychózy </w:t>
      </w:r>
      <w:r w:rsidRPr="007F6C9A">
        <w:rPr>
          <w:rStyle w:val="StylVerdana10b"/>
        </w:rPr>
        <w:t>(</w:t>
      </w:r>
      <w:r>
        <w:rPr>
          <w:rStyle w:val="StylVerdana10b"/>
        </w:rPr>
        <w:t xml:space="preserve">upraveno z </w:t>
      </w:r>
      <w:r w:rsidRPr="007F6C9A">
        <w:rPr>
          <w:rStyle w:val="StylVerdana10b"/>
        </w:rPr>
        <w:t>Behrendt, 2009).</w:t>
      </w:r>
    </w:p>
    <w:p w:rsidR="001B10DB" w:rsidRPr="00F07F22" w:rsidRDefault="001B10DB">
      <w:pPr>
        <w:spacing w:before="1"/>
        <w:rPr>
          <w:rFonts w:ascii="Verdana" w:eastAsia="Verdana" w:hAnsi="Verdana" w:cs="Verdana"/>
          <w:sz w:val="23"/>
          <w:szCs w:val="23"/>
          <w:lang w:val="cs-CZ"/>
        </w:rPr>
      </w:pPr>
    </w:p>
    <w:tbl>
      <w:tblPr>
        <w:tblW w:w="0" w:type="auto"/>
        <w:tblInd w:w="106" w:type="dxa"/>
        <w:tblLayout w:type="fixed"/>
        <w:tblCellMar>
          <w:left w:w="0" w:type="dxa"/>
          <w:right w:w="0" w:type="dxa"/>
        </w:tblCellMar>
        <w:tblLook w:val="01E0" w:firstRow="1" w:lastRow="1" w:firstColumn="1" w:lastColumn="1" w:noHBand="0" w:noVBand="0"/>
      </w:tblPr>
      <w:tblGrid>
        <w:gridCol w:w="5286"/>
        <w:gridCol w:w="5528"/>
      </w:tblGrid>
      <w:tr w:rsidR="00C31CAD" w:rsidRPr="009B245D" w:rsidTr="00F07F22">
        <w:trPr>
          <w:trHeight w:hRule="exact" w:val="1011"/>
        </w:trPr>
        <w:tc>
          <w:tcPr>
            <w:tcW w:w="5286" w:type="dxa"/>
            <w:tcBorders>
              <w:top w:val="single" w:sz="4" w:space="0" w:color="006AB2"/>
              <w:left w:val="single" w:sz="4" w:space="0" w:color="006AB2"/>
              <w:bottom w:val="single" w:sz="4" w:space="0" w:color="006AB2"/>
              <w:right w:val="single" w:sz="4" w:space="0" w:color="006AB2"/>
            </w:tcBorders>
          </w:tcPr>
          <w:p w:rsidR="00C31CAD" w:rsidRPr="00F07F22" w:rsidRDefault="00F07F22" w:rsidP="006A23B7">
            <w:pPr>
              <w:pStyle w:val="TableParagraph"/>
              <w:spacing w:before="117" w:line="240" w:lineRule="exact"/>
              <w:ind w:left="165"/>
              <w:rPr>
                <w:rFonts w:ascii="Verdana" w:eastAsia="Verdana" w:hAnsi="Verdana" w:cs="Verdana"/>
                <w:sz w:val="20"/>
                <w:szCs w:val="20"/>
                <w:lang w:val="cs-CZ"/>
              </w:rPr>
            </w:pPr>
            <w:r>
              <w:rPr>
                <w:rFonts w:ascii="Verdana" w:hAnsi="Verdana"/>
                <w:b/>
                <w:sz w:val="20"/>
                <w:lang w:val="cs-CZ"/>
              </w:rPr>
              <w:t xml:space="preserve">Časné varovné příznaky </w:t>
            </w:r>
            <w:r w:rsidR="00C31CAD" w:rsidRPr="00F07F22">
              <w:rPr>
                <w:rFonts w:ascii="Verdana"/>
                <w:sz w:val="18"/>
                <w:lang w:val="cs-CZ"/>
              </w:rPr>
              <w:t>(</w:t>
            </w:r>
            <w:r w:rsidRPr="009B245D">
              <w:rPr>
                <w:rFonts w:ascii="Verdana" w:hAnsi="Verdana"/>
                <w:sz w:val="18"/>
                <w:lang w:val="cs-CZ"/>
              </w:rPr>
              <w:t>asi tak 4 týdny předem</w:t>
            </w:r>
            <w:r w:rsidR="00C31CAD" w:rsidRPr="009B245D">
              <w:rPr>
                <w:rFonts w:ascii="Verdana" w:hAnsi="Verdana"/>
                <w:sz w:val="18"/>
                <w:lang w:val="cs-CZ"/>
              </w:rPr>
              <w:t>)</w:t>
            </w:r>
          </w:p>
          <w:p w:rsidR="00C31CAD" w:rsidRPr="00F07F22" w:rsidRDefault="009B245D" w:rsidP="00F07F22">
            <w:pPr>
              <w:pStyle w:val="TableParagraph"/>
              <w:spacing w:before="6" w:line="216" w:lineRule="exact"/>
              <w:ind w:left="165" w:right="346"/>
              <w:rPr>
                <w:rFonts w:ascii="Verdana" w:eastAsia="Verdana" w:hAnsi="Verdana" w:cs="Verdana"/>
                <w:sz w:val="18"/>
                <w:szCs w:val="18"/>
                <w:lang w:val="cs-CZ"/>
              </w:rPr>
            </w:pPr>
            <w:r>
              <w:rPr>
                <w:rFonts w:ascii="Verdana" w:hAnsi="Verdana"/>
                <w:i/>
                <w:sz w:val="18"/>
                <w:lang w:val="cs-CZ"/>
              </w:rPr>
              <w:t>N</w:t>
            </w:r>
            <w:r w:rsidR="00F07F22">
              <w:rPr>
                <w:rFonts w:ascii="Verdana" w:hAnsi="Verdana"/>
                <w:i/>
                <w:sz w:val="18"/>
                <w:lang w:val="cs-CZ"/>
              </w:rPr>
              <w:t>apř</w:t>
            </w:r>
            <w:r>
              <w:rPr>
                <w:rFonts w:ascii="Verdana" w:hAnsi="Verdana"/>
                <w:i/>
                <w:sz w:val="18"/>
                <w:lang w:val="cs-CZ"/>
              </w:rPr>
              <w:t>.</w:t>
            </w:r>
            <w:r w:rsidR="00F07F22">
              <w:rPr>
                <w:rFonts w:ascii="Verdana" w:hAnsi="Verdana"/>
                <w:i/>
                <w:sz w:val="18"/>
                <w:lang w:val="cs-CZ"/>
              </w:rPr>
              <w:t xml:space="preserve"> silná podezíravost, dokonce i vůči dobrým přátelům</w:t>
            </w:r>
          </w:p>
        </w:tc>
        <w:tc>
          <w:tcPr>
            <w:tcW w:w="5528" w:type="dxa"/>
            <w:tcBorders>
              <w:top w:val="single" w:sz="4" w:space="0" w:color="006AB2"/>
              <w:left w:val="single" w:sz="4" w:space="0" w:color="006AB2"/>
              <w:bottom w:val="single" w:sz="4" w:space="0" w:color="006AB2"/>
              <w:right w:val="single" w:sz="4" w:space="0" w:color="006AB2"/>
            </w:tcBorders>
          </w:tcPr>
          <w:p w:rsidR="00C31CAD" w:rsidRPr="00F07F22" w:rsidRDefault="00F07F22" w:rsidP="006A23B7">
            <w:pPr>
              <w:pStyle w:val="TableParagraph"/>
              <w:spacing w:before="126" w:line="240" w:lineRule="exact"/>
              <w:ind w:left="165" w:right="214"/>
              <w:rPr>
                <w:rFonts w:ascii="Verdana" w:eastAsia="Verdana" w:hAnsi="Verdana" w:cs="Verdana"/>
                <w:sz w:val="20"/>
                <w:szCs w:val="20"/>
                <w:lang w:val="cs-CZ"/>
              </w:rPr>
            </w:pPr>
            <w:r>
              <w:rPr>
                <w:rFonts w:ascii="Verdana" w:hAnsi="Verdana"/>
                <w:b/>
                <w:sz w:val="20"/>
                <w:lang w:val="cs-CZ"/>
              </w:rPr>
              <w:t xml:space="preserve">Bezprostřední varovné příznaky, první příznaky psychózy </w:t>
            </w:r>
            <w:r w:rsidR="00C31CAD" w:rsidRPr="009B245D">
              <w:rPr>
                <w:rFonts w:ascii="Verdana" w:hAnsi="Verdana"/>
                <w:sz w:val="18"/>
                <w:lang w:val="cs-CZ"/>
              </w:rPr>
              <w:t>(</w:t>
            </w:r>
            <w:r w:rsidRPr="009B245D">
              <w:rPr>
                <w:rFonts w:ascii="Verdana" w:hAnsi="Verdana"/>
                <w:sz w:val="18"/>
                <w:lang w:val="cs-CZ"/>
              </w:rPr>
              <w:t xml:space="preserve">asi tak </w:t>
            </w:r>
            <w:r w:rsidR="00C31CAD" w:rsidRPr="009B245D">
              <w:rPr>
                <w:rFonts w:ascii="Verdana" w:hAnsi="Verdana"/>
                <w:sz w:val="18"/>
                <w:lang w:val="cs-CZ"/>
              </w:rPr>
              <w:t xml:space="preserve">1 </w:t>
            </w:r>
            <w:r w:rsidRPr="009B245D">
              <w:rPr>
                <w:rFonts w:ascii="Verdana" w:hAnsi="Verdana"/>
                <w:sz w:val="18"/>
                <w:lang w:val="cs-CZ"/>
              </w:rPr>
              <w:t>týden předem</w:t>
            </w:r>
            <w:r w:rsidR="00C31CAD" w:rsidRPr="009B245D">
              <w:rPr>
                <w:rFonts w:ascii="Verdana" w:hAnsi="Verdana"/>
                <w:sz w:val="18"/>
                <w:lang w:val="cs-CZ"/>
              </w:rPr>
              <w:t>)</w:t>
            </w:r>
          </w:p>
          <w:p w:rsidR="00C31CAD" w:rsidRPr="00F07F22" w:rsidRDefault="00F07F22" w:rsidP="00F07F22">
            <w:pPr>
              <w:pStyle w:val="TableParagraph"/>
              <w:spacing w:line="264" w:lineRule="auto"/>
              <w:ind w:left="165" w:right="738"/>
              <w:rPr>
                <w:rFonts w:ascii="Verdana" w:eastAsia="Verdana" w:hAnsi="Verdana" w:cs="Verdana"/>
                <w:sz w:val="18"/>
                <w:szCs w:val="18"/>
                <w:lang w:val="cs-CZ"/>
              </w:rPr>
            </w:pPr>
            <w:r>
              <w:rPr>
                <w:rFonts w:ascii="Verdana" w:hAnsi="Verdana"/>
                <w:i/>
                <w:sz w:val="18"/>
                <w:lang w:val="cs-CZ"/>
              </w:rPr>
              <w:t>např.</w:t>
            </w:r>
            <w:r w:rsidR="00A609D4" w:rsidRPr="00F07F22">
              <w:rPr>
                <w:rFonts w:ascii="Verdana" w:hAnsi="Verdana"/>
                <w:i/>
                <w:sz w:val="18"/>
                <w:lang w:val="cs-CZ"/>
              </w:rPr>
              <w:t xml:space="preserve"> </w:t>
            </w:r>
            <w:r>
              <w:rPr>
                <w:rFonts w:ascii="Verdana" w:hAnsi="Verdana"/>
                <w:i/>
                <w:sz w:val="18"/>
                <w:lang w:val="cs-CZ"/>
              </w:rPr>
              <w:t>Neustálé zabývání se spikleneckými teoriemi</w:t>
            </w:r>
          </w:p>
        </w:tc>
      </w:tr>
      <w:tr w:rsidR="00C31CAD" w:rsidRPr="009B245D" w:rsidTr="006A23B7">
        <w:trPr>
          <w:trHeight w:hRule="exact" w:val="1453"/>
        </w:trPr>
        <w:tc>
          <w:tcPr>
            <w:tcW w:w="5286" w:type="dxa"/>
            <w:tcBorders>
              <w:top w:val="single" w:sz="4" w:space="0" w:color="006AB2"/>
              <w:left w:val="single" w:sz="4" w:space="0" w:color="006AB2"/>
              <w:bottom w:val="single" w:sz="4" w:space="0" w:color="006AB2"/>
              <w:right w:val="single" w:sz="4" w:space="0" w:color="006AB2"/>
            </w:tcBorders>
          </w:tcPr>
          <w:p w:rsidR="00C31CAD" w:rsidRPr="00F07F22" w:rsidRDefault="00C31CAD">
            <w:pPr>
              <w:rPr>
                <w:lang w:val="cs-CZ"/>
              </w:rPr>
            </w:pPr>
          </w:p>
        </w:tc>
        <w:tc>
          <w:tcPr>
            <w:tcW w:w="5528" w:type="dxa"/>
            <w:tcBorders>
              <w:top w:val="single" w:sz="4" w:space="0" w:color="006AB2"/>
              <w:left w:val="single" w:sz="4" w:space="0" w:color="006AB2"/>
              <w:bottom w:val="single" w:sz="4" w:space="0" w:color="006AB2"/>
              <w:right w:val="single" w:sz="4" w:space="0" w:color="006AB2"/>
            </w:tcBorders>
          </w:tcPr>
          <w:p w:rsidR="00C31CAD" w:rsidRPr="00F07F22" w:rsidRDefault="00C31CAD">
            <w:pPr>
              <w:rPr>
                <w:lang w:val="cs-CZ"/>
              </w:rPr>
            </w:pPr>
          </w:p>
        </w:tc>
      </w:tr>
      <w:tr w:rsidR="00C31CAD" w:rsidRPr="009B245D" w:rsidTr="006A23B7">
        <w:trPr>
          <w:trHeight w:hRule="exact" w:val="1453"/>
        </w:trPr>
        <w:tc>
          <w:tcPr>
            <w:tcW w:w="5286" w:type="dxa"/>
            <w:tcBorders>
              <w:top w:val="single" w:sz="4" w:space="0" w:color="006AB2"/>
              <w:left w:val="single" w:sz="4" w:space="0" w:color="006AB2"/>
              <w:bottom w:val="single" w:sz="4" w:space="0" w:color="006AB2"/>
              <w:right w:val="single" w:sz="4" w:space="0" w:color="006AB2"/>
            </w:tcBorders>
          </w:tcPr>
          <w:p w:rsidR="00C31CAD" w:rsidRPr="00F07F22" w:rsidRDefault="00C31CAD">
            <w:pPr>
              <w:rPr>
                <w:lang w:val="cs-CZ"/>
              </w:rPr>
            </w:pPr>
          </w:p>
        </w:tc>
        <w:tc>
          <w:tcPr>
            <w:tcW w:w="5528" w:type="dxa"/>
            <w:tcBorders>
              <w:top w:val="single" w:sz="4" w:space="0" w:color="006AB2"/>
              <w:left w:val="single" w:sz="4" w:space="0" w:color="006AB2"/>
              <w:bottom w:val="single" w:sz="4" w:space="0" w:color="006AB2"/>
              <w:right w:val="single" w:sz="4" w:space="0" w:color="006AB2"/>
            </w:tcBorders>
          </w:tcPr>
          <w:p w:rsidR="00C31CAD" w:rsidRPr="00F07F22" w:rsidRDefault="00C31CAD">
            <w:pPr>
              <w:rPr>
                <w:lang w:val="cs-CZ"/>
              </w:rPr>
            </w:pPr>
          </w:p>
        </w:tc>
      </w:tr>
      <w:tr w:rsidR="00C31CAD" w:rsidRPr="009B245D" w:rsidTr="006A23B7">
        <w:trPr>
          <w:trHeight w:hRule="exact" w:val="1453"/>
        </w:trPr>
        <w:tc>
          <w:tcPr>
            <w:tcW w:w="5286" w:type="dxa"/>
            <w:tcBorders>
              <w:top w:val="single" w:sz="4" w:space="0" w:color="006AB2"/>
              <w:left w:val="single" w:sz="4" w:space="0" w:color="006AB2"/>
              <w:bottom w:val="single" w:sz="4" w:space="0" w:color="006AB2"/>
              <w:right w:val="single" w:sz="4" w:space="0" w:color="006AB2"/>
            </w:tcBorders>
          </w:tcPr>
          <w:p w:rsidR="00C31CAD" w:rsidRPr="00F07F22" w:rsidRDefault="00C31CAD">
            <w:pPr>
              <w:rPr>
                <w:lang w:val="cs-CZ"/>
              </w:rPr>
            </w:pPr>
          </w:p>
        </w:tc>
        <w:tc>
          <w:tcPr>
            <w:tcW w:w="5528" w:type="dxa"/>
            <w:tcBorders>
              <w:top w:val="single" w:sz="4" w:space="0" w:color="006AB2"/>
              <w:left w:val="single" w:sz="4" w:space="0" w:color="006AB2"/>
              <w:bottom w:val="single" w:sz="4" w:space="0" w:color="006AB2"/>
              <w:right w:val="single" w:sz="4" w:space="0" w:color="006AB2"/>
            </w:tcBorders>
          </w:tcPr>
          <w:p w:rsidR="00C31CAD" w:rsidRPr="00F07F22" w:rsidRDefault="00C31CAD">
            <w:pPr>
              <w:rPr>
                <w:lang w:val="cs-CZ"/>
              </w:rPr>
            </w:pPr>
          </w:p>
        </w:tc>
      </w:tr>
      <w:tr w:rsidR="00C31CAD" w:rsidRPr="009B245D" w:rsidTr="006A23B7">
        <w:trPr>
          <w:trHeight w:hRule="exact" w:val="1453"/>
        </w:trPr>
        <w:tc>
          <w:tcPr>
            <w:tcW w:w="5286" w:type="dxa"/>
            <w:tcBorders>
              <w:top w:val="single" w:sz="4" w:space="0" w:color="006AB2"/>
              <w:left w:val="single" w:sz="4" w:space="0" w:color="006AB2"/>
              <w:bottom w:val="single" w:sz="4" w:space="0" w:color="006AB2"/>
              <w:right w:val="single" w:sz="4" w:space="0" w:color="006AB2"/>
            </w:tcBorders>
          </w:tcPr>
          <w:p w:rsidR="00C31CAD" w:rsidRPr="00F07F22" w:rsidRDefault="00C31CAD">
            <w:pPr>
              <w:rPr>
                <w:lang w:val="cs-CZ"/>
              </w:rPr>
            </w:pPr>
          </w:p>
        </w:tc>
        <w:tc>
          <w:tcPr>
            <w:tcW w:w="5528" w:type="dxa"/>
            <w:tcBorders>
              <w:top w:val="single" w:sz="4" w:space="0" w:color="006AB2"/>
              <w:left w:val="single" w:sz="4" w:space="0" w:color="006AB2"/>
              <w:bottom w:val="single" w:sz="4" w:space="0" w:color="006AB2"/>
              <w:right w:val="single" w:sz="4" w:space="0" w:color="006AB2"/>
            </w:tcBorders>
          </w:tcPr>
          <w:p w:rsidR="00C31CAD" w:rsidRPr="00F07F22" w:rsidRDefault="00C31CAD">
            <w:pPr>
              <w:rPr>
                <w:lang w:val="cs-CZ"/>
              </w:rPr>
            </w:pPr>
          </w:p>
        </w:tc>
      </w:tr>
      <w:tr w:rsidR="00C31CAD" w:rsidRPr="009B245D" w:rsidTr="006A23B7">
        <w:trPr>
          <w:trHeight w:hRule="exact" w:val="1453"/>
        </w:trPr>
        <w:tc>
          <w:tcPr>
            <w:tcW w:w="5286" w:type="dxa"/>
            <w:tcBorders>
              <w:top w:val="single" w:sz="4" w:space="0" w:color="006AB2"/>
              <w:left w:val="single" w:sz="4" w:space="0" w:color="006AB2"/>
              <w:bottom w:val="single" w:sz="4" w:space="0" w:color="006AB2"/>
              <w:right w:val="single" w:sz="4" w:space="0" w:color="006AB2"/>
            </w:tcBorders>
          </w:tcPr>
          <w:p w:rsidR="00C31CAD" w:rsidRPr="00F07F22" w:rsidRDefault="00C31CAD">
            <w:pPr>
              <w:rPr>
                <w:lang w:val="cs-CZ"/>
              </w:rPr>
            </w:pPr>
          </w:p>
        </w:tc>
        <w:tc>
          <w:tcPr>
            <w:tcW w:w="5528" w:type="dxa"/>
            <w:tcBorders>
              <w:top w:val="single" w:sz="4" w:space="0" w:color="006AB2"/>
              <w:left w:val="single" w:sz="4" w:space="0" w:color="006AB2"/>
              <w:bottom w:val="single" w:sz="4" w:space="0" w:color="006AB2"/>
              <w:right w:val="single" w:sz="4" w:space="0" w:color="006AB2"/>
            </w:tcBorders>
          </w:tcPr>
          <w:p w:rsidR="00C31CAD" w:rsidRPr="00F07F22" w:rsidRDefault="00C31CAD">
            <w:pPr>
              <w:rPr>
                <w:lang w:val="cs-CZ"/>
              </w:rPr>
            </w:pPr>
          </w:p>
        </w:tc>
      </w:tr>
      <w:tr w:rsidR="00C31CAD" w:rsidRPr="009B245D" w:rsidTr="006A23B7">
        <w:trPr>
          <w:trHeight w:hRule="exact" w:val="1453"/>
        </w:trPr>
        <w:tc>
          <w:tcPr>
            <w:tcW w:w="5286" w:type="dxa"/>
            <w:tcBorders>
              <w:top w:val="single" w:sz="4" w:space="0" w:color="006AB2"/>
              <w:left w:val="single" w:sz="4" w:space="0" w:color="006AB2"/>
              <w:bottom w:val="single" w:sz="4" w:space="0" w:color="006AB2"/>
              <w:right w:val="single" w:sz="4" w:space="0" w:color="006AB2"/>
            </w:tcBorders>
          </w:tcPr>
          <w:p w:rsidR="00C31CAD" w:rsidRPr="00F07F22" w:rsidRDefault="00C31CAD">
            <w:pPr>
              <w:rPr>
                <w:lang w:val="cs-CZ"/>
              </w:rPr>
            </w:pPr>
          </w:p>
        </w:tc>
        <w:tc>
          <w:tcPr>
            <w:tcW w:w="5528" w:type="dxa"/>
            <w:tcBorders>
              <w:top w:val="single" w:sz="4" w:space="0" w:color="006AB2"/>
              <w:left w:val="single" w:sz="4" w:space="0" w:color="006AB2"/>
              <w:bottom w:val="single" w:sz="4" w:space="0" w:color="006AB2"/>
              <w:right w:val="single" w:sz="4" w:space="0" w:color="006AB2"/>
            </w:tcBorders>
          </w:tcPr>
          <w:p w:rsidR="00C31CAD" w:rsidRPr="00F07F22" w:rsidRDefault="00C31CAD">
            <w:pPr>
              <w:rPr>
                <w:lang w:val="cs-CZ"/>
              </w:rPr>
            </w:pPr>
          </w:p>
        </w:tc>
      </w:tr>
    </w:tbl>
    <w:p w:rsidR="001B10DB" w:rsidRPr="00F07F22" w:rsidRDefault="001B10DB">
      <w:pPr>
        <w:spacing w:before="4"/>
        <w:rPr>
          <w:rFonts w:ascii="Verdana" w:eastAsia="Verdana" w:hAnsi="Verdana" w:cs="Verdana"/>
          <w:sz w:val="14"/>
          <w:szCs w:val="14"/>
          <w:lang w:val="cs-CZ"/>
        </w:rPr>
      </w:pPr>
    </w:p>
    <w:p w:rsidR="00680D17" w:rsidRPr="00F07F22" w:rsidRDefault="00680D17" w:rsidP="00680D17">
      <w:pPr>
        <w:rPr>
          <w:rFonts w:ascii="Verdana" w:hAnsi="Verdana"/>
          <w:b/>
          <w:bCs/>
          <w:sz w:val="20"/>
          <w:szCs w:val="20"/>
          <w:lang w:val="cs-CZ"/>
        </w:rPr>
      </w:pPr>
    </w:p>
    <w:p w:rsidR="001B10DB" w:rsidRPr="009B245D" w:rsidRDefault="00F07F22" w:rsidP="00680D17">
      <w:pPr>
        <w:ind w:left="142"/>
        <w:rPr>
          <w:rFonts w:ascii="Verdana" w:eastAsia="Verdana" w:hAnsi="Verdana" w:cs="Verdana"/>
          <w:b/>
          <w:bCs/>
          <w:sz w:val="20"/>
          <w:szCs w:val="20"/>
          <w:lang w:val="cs-CZ"/>
        </w:rPr>
      </w:pPr>
      <w:r w:rsidRPr="009B245D">
        <w:rPr>
          <w:rFonts w:ascii="Verdana" w:hAnsi="Verdana"/>
          <w:b/>
          <w:sz w:val="20"/>
          <w:szCs w:val="20"/>
          <w:lang w:val="cs-CZ"/>
        </w:rPr>
        <w:t>Časné varovné příznaky (viz seznam) jsou relativně nespecifické. Mohou, ale nemusejí signalizovat návrat psychózy. Buďte ale opatrní, když se objeví více varovných příznaků současně nebo když se objeví takové, které předcházely minulým psychotickým epizodám!</w:t>
      </w:r>
    </w:p>
    <w:sectPr w:rsidR="001B10DB" w:rsidRPr="009B245D" w:rsidSect="000222E9">
      <w:footerReference w:type="default" r:id="rId8"/>
      <w:type w:val="continuous"/>
      <w:pgSz w:w="11910" w:h="16840"/>
      <w:pgMar w:top="460" w:right="440" w:bottom="0" w:left="4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F5D" w:rsidRDefault="009D4F5D" w:rsidP="00C31CAD">
      <w:r>
        <w:separator/>
      </w:r>
    </w:p>
  </w:endnote>
  <w:endnote w:type="continuationSeparator" w:id="0">
    <w:p w:rsidR="009D4F5D" w:rsidRDefault="009D4F5D" w:rsidP="00C31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CAD" w:rsidRPr="00A609D4" w:rsidRDefault="00B86167" w:rsidP="00B86167">
    <w:pPr>
      <w:pStyle w:val="Fuzeile"/>
      <w:jc w:val="center"/>
    </w:pPr>
    <w:r>
      <w:rPr>
        <w:rFonts w:ascii="Verdana" w:hAnsi="Verdana"/>
        <w:sz w:val="16"/>
        <w:szCs w:val="16"/>
        <w:lang w:val="cs-CZ"/>
      </w:rPr>
      <w:t xml:space="preserve">Pracovní list terapeutické lekce </w:t>
    </w:r>
    <w:r w:rsidRPr="001656BE">
      <w:rPr>
        <w:rFonts w:ascii="Verdana" w:hAnsi="Verdana"/>
        <w:sz w:val="16"/>
        <w:szCs w:val="16"/>
        <w:lang w:val="cs-CZ"/>
      </w:rPr>
      <w:t xml:space="preserve">11: </w:t>
    </w:r>
    <w:r>
      <w:rPr>
        <w:rFonts w:ascii="Verdana" w:hAnsi="Verdana"/>
        <w:sz w:val="16"/>
        <w:szCs w:val="16"/>
        <w:lang w:val="cs-CZ"/>
      </w:rPr>
      <w:t xml:space="preserve">Život s psychózou a </w:t>
    </w:r>
    <w:r w:rsidR="00797329">
      <w:rPr>
        <w:rFonts w:ascii="Verdana" w:hAnsi="Verdana"/>
        <w:sz w:val="16"/>
        <w:szCs w:val="16"/>
        <w:lang w:val="cs-CZ"/>
      </w:rPr>
      <w:t xml:space="preserve">jak předejít </w:t>
    </w:r>
    <w:r>
      <w:rPr>
        <w:rFonts w:ascii="Verdana" w:hAnsi="Verdana"/>
        <w:sz w:val="16"/>
        <w:szCs w:val="16"/>
        <w:lang w:val="cs-CZ"/>
      </w:rPr>
      <w:t>relapsu</w:t>
    </w:r>
  </w:p>
  <w:p w:rsidR="00C31CAD" w:rsidRPr="00A609D4" w:rsidRDefault="00C31CA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F5D" w:rsidRDefault="009D4F5D" w:rsidP="00C31CAD">
      <w:r>
        <w:separator/>
      </w:r>
    </w:p>
  </w:footnote>
  <w:footnote w:type="continuationSeparator" w:id="0">
    <w:p w:rsidR="009D4F5D" w:rsidRDefault="009D4F5D" w:rsidP="00C31C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rsids>
    <w:rsidRoot w:val="001B10DB"/>
    <w:rsid w:val="000222E9"/>
    <w:rsid w:val="000667B5"/>
    <w:rsid w:val="000845A8"/>
    <w:rsid w:val="001B10DB"/>
    <w:rsid w:val="002A575F"/>
    <w:rsid w:val="00324274"/>
    <w:rsid w:val="00353B5C"/>
    <w:rsid w:val="004F3FF5"/>
    <w:rsid w:val="00583083"/>
    <w:rsid w:val="00680D17"/>
    <w:rsid w:val="006A23B7"/>
    <w:rsid w:val="006C4984"/>
    <w:rsid w:val="00797329"/>
    <w:rsid w:val="0097741D"/>
    <w:rsid w:val="009B245D"/>
    <w:rsid w:val="009D4F5D"/>
    <w:rsid w:val="00A040F6"/>
    <w:rsid w:val="00A609D4"/>
    <w:rsid w:val="00AB529E"/>
    <w:rsid w:val="00B42F49"/>
    <w:rsid w:val="00B8301B"/>
    <w:rsid w:val="00B86167"/>
    <w:rsid w:val="00C31CAD"/>
    <w:rsid w:val="00C440C8"/>
    <w:rsid w:val="00CE661F"/>
    <w:rsid w:val="00D14093"/>
    <w:rsid w:val="00D3595E"/>
    <w:rsid w:val="00E529DA"/>
    <w:rsid w:val="00F07F22"/>
    <w:rsid w:val="00FE07D1"/>
    <w:rsid w:val="00FF2710"/>
  </w:rsids>
  <m:mathPr>
    <m:mathFont m:val="Cambria Math"/>
    <m:brkBin m:val="before"/>
    <m:brkBinSub m:val="--"/>
    <m:smallFrac/>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A0F66440-4755-4F40-8E2C-52D897D0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sid w:val="000222E9"/>
    <w:pPr>
      <w:widowControl w:val="0"/>
    </w:pPr>
    <w:rPr>
      <w:sz w:val="22"/>
      <w:szCs w:val="22"/>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rsid w:val="000222E9"/>
    <w:pPr>
      <w:widowControl w:val="0"/>
    </w:pPr>
    <w:rPr>
      <w:sz w:val="22"/>
      <w:szCs w:val="22"/>
      <w:lang w:val="en-US" w:eastAsia="en-US"/>
    </w:rPr>
    <w:tblPr>
      <w:tblInd w:w="0" w:type="dxa"/>
      <w:tblCellMar>
        <w:top w:w="0" w:type="dxa"/>
        <w:left w:w="0" w:type="dxa"/>
        <w:bottom w:w="0" w:type="dxa"/>
        <w:right w:w="0" w:type="dxa"/>
      </w:tblCellMar>
    </w:tblPr>
  </w:style>
  <w:style w:type="paragraph" w:styleId="Textkrper">
    <w:name w:val="Body Text"/>
    <w:basedOn w:val="Standard"/>
    <w:uiPriority w:val="1"/>
    <w:qFormat/>
    <w:rsid w:val="000222E9"/>
    <w:pPr>
      <w:ind w:left="106"/>
    </w:pPr>
    <w:rPr>
      <w:rFonts w:ascii="Verdana" w:eastAsia="Verdana" w:hAnsi="Verdana"/>
      <w:sz w:val="20"/>
      <w:szCs w:val="20"/>
    </w:rPr>
  </w:style>
  <w:style w:type="paragraph" w:styleId="Listenabsatz">
    <w:name w:val="List Paragraph"/>
    <w:basedOn w:val="Standard"/>
    <w:uiPriority w:val="1"/>
    <w:qFormat/>
    <w:rsid w:val="000222E9"/>
  </w:style>
  <w:style w:type="paragraph" w:customStyle="1" w:styleId="TableParagraph">
    <w:name w:val="Table Paragraph"/>
    <w:basedOn w:val="Standard"/>
    <w:uiPriority w:val="1"/>
    <w:qFormat/>
    <w:rsid w:val="000222E9"/>
  </w:style>
  <w:style w:type="paragraph" w:styleId="Kopfzeile">
    <w:name w:val="header"/>
    <w:basedOn w:val="Standard"/>
    <w:link w:val="KopfzeileZchn"/>
    <w:uiPriority w:val="99"/>
    <w:unhideWhenUsed/>
    <w:rsid w:val="00C31CAD"/>
    <w:pPr>
      <w:tabs>
        <w:tab w:val="center" w:pos="4536"/>
        <w:tab w:val="right" w:pos="9072"/>
      </w:tabs>
    </w:pPr>
  </w:style>
  <w:style w:type="character" w:customStyle="1" w:styleId="KopfzeileZchn">
    <w:name w:val="Kopfzeile Zchn"/>
    <w:basedOn w:val="Absatz-Standardschriftart"/>
    <w:link w:val="Kopfzeile"/>
    <w:uiPriority w:val="99"/>
    <w:rsid w:val="00C31CAD"/>
  </w:style>
  <w:style w:type="paragraph" w:styleId="Fuzeile">
    <w:name w:val="footer"/>
    <w:basedOn w:val="Standard"/>
    <w:link w:val="FuzeileZchn"/>
    <w:uiPriority w:val="99"/>
    <w:unhideWhenUsed/>
    <w:rsid w:val="00C31CAD"/>
    <w:pPr>
      <w:tabs>
        <w:tab w:val="center" w:pos="4536"/>
        <w:tab w:val="right" w:pos="9072"/>
      </w:tabs>
    </w:pPr>
  </w:style>
  <w:style w:type="character" w:customStyle="1" w:styleId="FuzeileZchn">
    <w:name w:val="Fußzeile Zchn"/>
    <w:basedOn w:val="Absatz-Standardschriftart"/>
    <w:link w:val="Fuzeile"/>
    <w:uiPriority w:val="99"/>
    <w:rsid w:val="00C31CAD"/>
  </w:style>
  <w:style w:type="paragraph" w:styleId="Sprechblasentext">
    <w:name w:val="Balloon Text"/>
    <w:basedOn w:val="Standard"/>
    <w:link w:val="SprechblasentextZchn"/>
    <w:uiPriority w:val="99"/>
    <w:semiHidden/>
    <w:unhideWhenUsed/>
    <w:rsid w:val="00C31CA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31CAD"/>
    <w:rPr>
      <w:rFonts w:ascii="Tahoma" w:hAnsi="Tahoma" w:cs="Tahoma"/>
      <w:sz w:val="16"/>
      <w:szCs w:val="16"/>
    </w:rPr>
  </w:style>
  <w:style w:type="character" w:styleId="Kommentarzeichen">
    <w:name w:val="annotation reference"/>
    <w:basedOn w:val="Absatz-Standardschriftart"/>
    <w:uiPriority w:val="99"/>
    <w:semiHidden/>
    <w:unhideWhenUsed/>
    <w:rsid w:val="002A575F"/>
    <w:rPr>
      <w:sz w:val="16"/>
      <w:szCs w:val="16"/>
    </w:rPr>
  </w:style>
  <w:style w:type="paragraph" w:styleId="Kommentartext">
    <w:name w:val="annotation text"/>
    <w:basedOn w:val="Standard"/>
    <w:link w:val="KommentartextZchn"/>
    <w:uiPriority w:val="99"/>
    <w:semiHidden/>
    <w:unhideWhenUsed/>
    <w:rsid w:val="002A575F"/>
    <w:rPr>
      <w:sz w:val="20"/>
      <w:szCs w:val="20"/>
    </w:rPr>
  </w:style>
  <w:style w:type="character" w:customStyle="1" w:styleId="KommentartextZchn">
    <w:name w:val="Kommentartext Zchn"/>
    <w:basedOn w:val="Absatz-Standardschriftart"/>
    <w:link w:val="Kommentartext"/>
    <w:uiPriority w:val="99"/>
    <w:semiHidden/>
    <w:rsid w:val="002A575F"/>
    <w:rPr>
      <w:sz w:val="20"/>
      <w:szCs w:val="20"/>
    </w:rPr>
  </w:style>
  <w:style w:type="paragraph" w:styleId="Kommentarthema">
    <w:name w:val="annotation subject"/>
    <w:basedOn w:val="Kommentartext"/>
    <w:next w:val="Kommentartext"/>
    <w:link w:val="KommentarthemaZchn"/>
    <w:uiPriority w:val="99"/>
    <w:semiHidden/>
    <w:unhideWhenUsed/>
    <w:rsid w:val="002A575F"/>
    <w:rPr>
      <w:b/>
      <w:bCs/>
    </w:rPr>
  </w:style>
  <w:style w:type="character" w:customStyle="1" w:styleId="KommentarthemaZchn">
    <w:name w:val="Kommentarthema Zchn"/>
    <w:basedOn w:val="KommentartextZchn"/>
    <w:link w:val="Kommentarthema"/>
    <w:uiPriority w:val="99"/>
    <w:semiHidden/>
    <w:rsid w:val="002A575F"/>
    <w:rPr>
      <w:b/>
      <w:bCs/>
      <w:sz w:val="20"/>
      <w:szCs w:val="20"/>
    </w:rPr>
  </w:style>
  <w:style w:type="character" w:customStyle="1" w:styleId="StylVerdana10b">
    <w:name w:val="Styl Verdana 10 b."/>
    <w:rsid w:val="00F07F22"/>
    <w:rPr>
      <w:rFonts w:ascii="Verdana" w:hAnsi="Verdana"/>
      <w:sz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0A311-D888-4902-8747-20F4A60C7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810</Characters>
  <Application>Microsoft Office Word</Application>
  <DocSecurity>0</DocSecurity>
  <Lines>6</Lines>
  <Paragraphs>1</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Krieger</dc:creator>
  <cp:lastModifiedBy>Hiwis</cp:lastModifiedBy>
  <cp:revision>3</cp:revision>
  <cp:lastPrinted>2015-05-27T11:08:00Z</cp:lastPrinted>
  <dcterms:created xsi:type="dcterms:W3CDTF">2016-12-30T09:03:00Z</dcterms:created>
  <dcterms:modified xsi:type="dcterms:W3CDTF">2017-03-09T14:19:00Z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2015-05-20T00:00:00Z</vt:filetime>
  </property>
  <property fmtid="{D5CDD505-2E9C-101B-9397-08002B2CF9AE}" pid="3" name="Creator">
    <vt:lpwstr>Adobe InDesign CS2 (4.0.5)</vt:lpwstr>
  </property>
  <property fmtid="{D5CDD505-2E9C-101B-9397-08002B2CF9AE}" pid="4" name="LastSaved">
    <vt:filetime>2015-05-26T00:00:00Z</vt:filetime>
  </property>
</Properties>
</file>